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87D" w:rsidRPr="00630DB2" w:rsidRDefault="00B8587D" w:rsidP="00B8587D">
      <w:r w:rsidRPr="00630DB2">
        <w:t>Alunno ………………………………………………</w:t>
      </w:r>
    </w:p>
    <w:p w:rsidR="00B8587D" w:rsidRPr="00630DB2" w:rsidRDefault="00B8587D" w:rsidP="00B8587D">
      <w:r w:rsidRPr="00630DB2">
        <w:t>Classe  ……………………………………………</w:t>
      </w:r>
    </w:p>
    <w:p w:rsidR="00B8587D" w:rsidRPr="00630DB2" w:rsidRDefault="00B8587D" w:rsidP="00B8587D">
      <w:r w:rsidRPr="00630DB2">
        <w:t>Data …………………………………………………</w:t>
      </w:r>
    </w:p>
    <w:p w:rsidR="00B8587D" w:rsidRPr="00630DB2" w:rsidRDefault="00B8587D" w:rsidP="00B8587D">
      <w:pPr>
        <w:rPr>
          <w:rFonts w:ascii="Times New Roman" w:hAnsi="Times New Roman" w:cs="Times New Roman"/>
          <w:sz w:val="36"/>
          <w:szCs w:val="36"/>
        </w:rPr>
      </w:pPr>
    </w:p>
    <w:p w:rsidR="00DC57F3" w:rsidRPr="00630DB2" w:rsidRDefault="00312874" w:rsidP="00312874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  <w:r w:rsidRPr="00630DB2">
        <w:rPr>
          <w:rFonts w:ascii="Times New Roman" w:hAnsi="Times New Roman" w:cs="Times New Roman"/>
          <w:color w:val="C00000"/>
          <w:sz w:val="36"/>
          <w:szCs w:val="36"/>
        </w:rPr>
        <w:t>“</w:t>
      </w:r>
      <w:r w:rsidR="00DC57F3" w:rsidRPr="00630DB2">
        <w:rPr>
          <w:rFonts w:ascii="Times New Roman" w:hAnsi="Times New Roman" w:cs="Times New Roman"/>
          <w:color w:val="C00000"/>
          <w:sz w:val="36"/>
          <w:szCs w:val="36"/>
        </w:rPr>
        <w:t>Prima guerra mondiale: interventisti contro neutralisti</w:t>
      </w:r>
      <w:r w:rsidRPr="00630DB2">
        <w:rPr>
          <w:rFonts w:ascii="Times New Roman" w:hAnsi="Times New Roman" w:cs="Times New Roman"/>
          <w:color w:val="C00000"/>
          <w:sz w:val="36"/>
          <w:szCs w:val="36"/>
        </w:rPr>
        <w:t>” di Edoardo Frittoli</w:t>
      </w:r>
    </w:p>
    <w:p w:rsidR="00DC57F3" w:rsidRPr="00630DB2" w:rsidRDefault="00DC57F3" w:rsidP="00DC57F3">
      <w:pPr>
        <w:rPr>
          <w:rFonts w:ascii="Times New Roman" w:hAnsi="Times New Roman" w:cs="Times New Roman"/>
          <w:sz w:val="24"/>
          <w:szCs w:val="24"/>
        </w:rPr>
      </w:pPr>
      <w:r w:rsidRPr="00630DB2">
        <w:rPr>
          <w:rFonts w:ascii="Times New Roman" w:hAnsi="Times New Roman" w:cs="Times New Roman"/>
          <w:sz w:val="24"/>
          <w:szCs w:val="24"/>
        </w:rPr>
        <w:t>Entrare o meno nel conflitto? La lotta si risolve in un conflitto tra figure e idee complesse, tra interpretazioni politiche e culturali a più dimensioni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t>I 10 mesi di neutralità spaccarono l'Italia del declinante Stato liberale in due fazioni che animarono la vita politica, culturale e sociale del paese. 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t>Tra i </w:t>
      </w:r>
      <w:r w:rsidRPr="00630DB2">
        <w:rPr>
          <w:rStyle w:val="Enfasigrassetto"/>
          <w:b w:val="0"/>
          <w:sz w:val="27"/>
          <w:szCs w:val="27"/>
        </w:rPr>
        <w:t>neutralisti</w:t>
      </w:r>
      <w:r w:rsidRPr="00630DB2">
        <w:rPr>
          <w:b/>
          <w:sz w:val="27"/>
          <w:szCs w:val="27"/>
        </w:rPr>
        <w:t> </w:t>
      </w:r>
      <w:r w:rsidRPr="00630DB2">
        <w:rPr>
          <w:sz w:val="27"/>
          <w:szCs w:val="27"/>
        </w:rPr>
        <w:t>c'erano quasi tutti i protagonisti dell'Italia Giolittiana: i Liberali, i Cattolici e la maggioranza dei Socialisti. 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t>I primi erano impegnati alla difesa dell'ultima propaggine dello Stato post-risorgimentale. Il loro neutralismo era prudente e sostanzialmente debole, in bilico tra i timori di un rivolgimento sociale e politico che la guerra avrebbe potuto generare e i possibili vantaggi invocati dagli interventisti. Anche i Cattolici erano a favore del non intervento. Una parte di essi era legat</w:t>
      </w:r>
      <w:r w:rsidR="00222A49">
        <w:rPr>
          <w:sz w:val="27"/>
          <w:szCs w:val="27"/>
        </w:rPr>
        <w:t>a</w:t>
      </w:r>
      <w:r w:rsidRPr="00630DB2">
        <w:rPr>
          <w:sz w:val="27"/>
          <w:szCs w:val="27"/>
        </w:rPr>
        <w:t xml:space="preserve"> ancora a posizioni oltranziste precedenti l'Unità d'Italia ed appoggiava</w:t>
      </w:r>
      <w:r w:rsidR="00222A49">
        <w:rPr>
          <w:sz w:val="27"/>
          <w:szCs w:val="27"/>
        </w:rPr>
        <w:t xml:space="preserve"> </w:t>
      </w:r>
      <w:r w:rsidRPr="00630DB2">
        <w:rPr>
          <w:sz w:val="27"/>
          <w:szCs w:val="27"/>
        </w:rPr>
        <w:t>sostanzialmente l'Austria ultracattolica. Una parte del clero, degli intellettuali e dell'informazione cattolica si era invece rivolta verso la maggioranza contadina della popolazione italiana minacciata dalla chiamata alle armi e agli appelli pacifisti di</w:t>
      </w:r>
      <w:r w:rsidRPr="00630DB2">
        <w:rPr>
          <w:rStyle w:val="Enfasigrassetto"/>
          <w:sz w:val="27"/>
          <w:szCs w:val="27"/>
        </w:rPr>
        <w:t> </w:t>
      </w:r>
      <w:r w:rsidRPr="00222A49">
        <w:rPr>
          <w:rStyle w:val="Enfasigrassetto"/>
          <w:b w:val="0"/>
          <w:sz w:val="27"/>
          <w:szCs w:val="27"/>
        </w:rPr>
        <w:t>Benedetto X</w:t>
      </w:r>
      <w:r w:rsidRPr="00630DB2">
        <w:rPr>
          <w:rStyle w:val="Enfasigrassetto"/>
          <w:sz w:val="27"/>
          <w:szCs w:val="27"/>
        </w:rPr>
        <w:t>V</w:t>
      </w:r>
      <w:r w:rsidRPr="00630DB2">
        <w:rPr>
          <w:sz w:val="27"/>
          <w:szCs w:val="27"/>
        </w:rPr>
        <w:t>. Un'altra parte dei cattolici italiani seguì la teoria del</w:t>
      </w:r>
      <w:r w:rsidR="00312874" w:rsidRPr="00630DB2">
        <w:rPr>
          <w:sz w:val="27"/>
          <w:szCs w:val="27"/>
        </w:rPr>
        <w:t>l</w:t>
      </w:r>
      <w:r w:rsidRPr="00630DB2">
        <w:rPr>
          <w:sz w:val="27"/>
          <w:szCs w:val="27"/>
        </w:rPr>
        <w:t>'"Obbedire e tacere" formulata dal più importante esponente degli intellettuali cattolici, Padre Agostino Gemelli.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t>I Socialisti, legati all'internazionalismo pacifista, rimanevano in buona parte legati alla neutralità</w:t>
      </w:r>
      <w:r w:rsidR="00FB2DD9">
        <w:rPr>
          <w:sz w:val="27"/>
          <w:szCs w:val="27"/>
        </w:rPr>
        <w:t>,</w:t>
      </w:r>
      <w:r w:rsidRPr="00630DB2">
        <w:rPr>
          <w:sz w:val="27"/>
          <w:szCs w:val="27"/>
        </w:rPr>
        <w:t xml:space="preserve"> anche se la frangia </w:t>
      </w:r>
      <w:proofErr w:type="spellStart"/>
      <w:r w:rsidRPr="00630DB2">
        <w:rPr>
          <w:sz w:val="27"/>
          <w:szCs w:val="27"/>
        </w:rPr>
        <w:t>anarco-sindacalista</w:t>
      </w:r>
      <w:proofErr w:type="spellEnd"/>
      <w:r w:rsidRPr="00630DB2">
        <w:rPr>
          <w:sz w:val="27"/>
          <w:szCs w:val="27"/>
        </w:rPr>
        <w:t xml:space="preserve"> di stampo </w:t>
      </w:r>
      <w:proofErr w:type="spellStart"/>
      <w:r w:rsidRPr="00630DB2">
        <w:rPr>
          <w:sz w:val="27"/>
          <w:szCs w:val="27"/>
        </w:rPr>
        <w:t>soreliano</w:t>
      </w:r>
      <w:proofErr w:type="spellEnd"/>
      <w:r w:rsidRPr="00630DB2">
        <w:rPr>
          <w:sz w:val="27"/>
          <w:szCs w:val="27"/>
        </w:rPr>
        <w:t xml:space="preserve"> vedeva nella guerra un’opportunità di rovesciamento sociale e di vittoria finale del proletariato. 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t>Dall'altra parte dello schieramento, gli </w:t>
      </w:r>
      <w:r w:rsidRPr="00FB2DD9">
        <w:rPr>
          <w:rStyle w:val="Enfasigrassetto"/>
          <w:b w:val="0"/>
          <w:sz w:val="27"/>
          <w:szCs w:val="27"/>
        </w:rPr>
        <w:t>interventisti</w:t>
      </w:r>
      <w:r w:rsidRPr="00630DB2">
        <w:rPr>
          <w:sz w:val="27"/>
          <w:szCs w:val="27"/>
        </w:rPr>
        <w:t>. La loro composizione era eterogenea e trasversale agli schieramenti ideologici e politici. C'erano i neo-risorgimentali rappresentati dal movimento Irredentista legato alla figura di Cesare Battisti</w:t>
      </w:r>
      <w:r w:rsidR="00FB2DD9">
        <w:rPr>
          <w:sz w:val="27"/>
          <w:szCs w:val="27"/>
        </w:rPr>
        <w:t>,</w:t>
      </w:r>
      <w:r w:rsidRPr="00630DB2">
        <w:rPr>
          <w:sz w:val="27"/>
          <w:szCs w:val="27"/>
        </w:rPr>
        <w:t xml:space="preserve"> i quali vedevano il possibile completamento del Risorgimento con le acquisizioni territoriali in caso di vittoria contro l'Austria-Ungheria. 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lastRenderedPageBreak/>
        <w:t xml:space="preserve">La parte più consistente dello schieramento a favore dell'ingresso dell'Italia nel conflitto era rappresentata dal Nazionalisti. La loro azione politica, nella quale confluivano forze antisocialiste, antidemocratiche e filo-imperialiste all'indomani </w:t>
      </w:r>
      <w:r w:rsidR="00AB5F01" w:rsidRPr="00630DB2">
        <w:rPr>
          <w:sz w:val="27"/>
          <w:szCs w:val="27"/>
        </w:rPr>
        <w:t>dell'impresa italiana in Libia, era orientata fondamentalmente allo smantellamento del vecchio Stato liberale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t>Al di là dei movimenti politici, a fare la parte del leone tra gli interventisti furono i rappresentanti dei nuovi movimenti culturali e artistici, primo tra tutti </w:t>
      </w:r>
      <w:r w:rsidRPr="00630DB2">
        <w:rPr>
          <w:rStyle w:val="Enfasigrassetto"/>
          <w:b w:val="0"/>
          <w:sz w:val="27"/>
          <w:szCs w:val="27"/>
        </w:rPr>
        <w:t>Gabriele D'Annunzio</w:t>
      </w:r>
      <w:r w:rsidR="00B8587D" w:rsidRPr="00630DB2">
        <w:rPr>
          <w:b/>
          <w:sz w:val="27"/>
          <w:szCs w:val="27"/>
        </w:rPr>
        <w:t>.</w:t>
      </w:r>
      <w:r w:rsidRPr="00630DB2">
        <w:rPr>
          <w:sz w:val="27"/>
          <w:szCs w:val="27"/>
        </w:rPr>
        <w:t xml:space="preserve"> Il vate aveva intuito l'importanza dei mezzi di comunicazione moderni (la sua voce era amplificata dal "Corriere della Sera" di Albertini) e godeva dell'appoggio di buona parte della borghesia industriale, vogliosa di protagonismo e stanca degli anni del giolittismo. L'azione culturale dannunziana fece da volano e contribuì ad accrescere l'irrequietudine e la tensione verso l'azione nel Paese. La corrente artistica che illustrò le teorie dell'intervento fu per eccellenza il futurismo, nato attorno a </w:t>
      </w:r>
      <w:r w:rsidRPr="00630DB2">
        <w:rPr>
          <w:rStyle w:val="Enfasigrassetto"/>
          <w:b w:val="0"/>
          <w:sz w:val="27"/>
          <w:szCs w:val="27"/>
        </w:rPr>
        <w:t>Filippo Tommaso Marinetti</w:t>
      </w:r>
      <w:r w:rsidRPr="00630DB2">
        <w:rPr>
          <w:b/>
          <w:sz w:val="27"/>
          <w:szCs w:val="27"/>
        </w:rPr>
        <w:t>.</w:t>
      </w:r>
      <w:r w:rsidRPr="00630DB2">
        <w:rPr>
          <w:sz w:val="27"/>
          <w:szCs w:val="27"/>
        </w:rPr>
        <w:t xml:space="preserve"> Con lui si espresse a favore della guerra "sola igiene del mondo" Umberto Boccioni. 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t xml:space="preserve">Alla loro sinistra vi erano i cosiddetti interventisti "democratici" come Leonida </w:t>
      </w:r>
      <w:proofErr w:type="spellStart"/>
      <w:r w:rsidRPr="00630DB2">
        <w:rPr>
          <w:sz w:val="27"/>
          <w:szCs w:val="27"/>
        </w:rPr>
        <w:t>Bissolati</w:t>
      </w:r>
      <w:proofErr w:type="spellEnd"/>
      <w:r w:rsidRPr="00630DB2">
        <w:rPr>
          <w:sz w:val="27"/>
          <w:szCs w:val="27"/>
        </w:rPr>
        <w:t xml:space="preserve"> e </w:t>
      </w:r>
      <w:r w:rsidRPr="00630DB2">
        <w:rPr>
          <w:rStyle w:val="Enfasigrassetto"/>
          <w:b w:val="0"/>
          <w:sz w:val="27"/>
          <w:szCs w:val="27"/>
        </w:rPr>
        <w:t>Gaetano Salvemini</w:t>
      </w:r>
      <w:r w:rsidRPr="00630DB2">
        <w:rPr>
          <w:sz w:val="27"/>
          <w:szCs w:val="27"/>
        </w:rPr>
        <w:t xml:space="preserve">. Poi gli </w:t>
      </w:r>
      <w:proofErr w:type="spellStart"/>
      <w:r w:rsidRPr="00630DB2">
        <w:rPr>
          <w:sz w:val="27"/>
          <w:szCs w:val="27"/>
        </w:rPr>
        <w:t>anarco-sindacalisti</w:t>
      </w:r>
      <w:proofErr w:type="spellEnd"/>
      <w:r w:rsidRPr="00630DB2">
        <w:rPr>
          <w:sz w:val="27"/>
          <w:szCs w:val="27"/>
        </w:rPr>
        <w:t xml:space="preserve"> come </w:t>
      </w:r>
      <w:r w:rsidRPr="00630DB2">
        <w:rPr>
          <w:rStyle w:val="Enfasigrassetto"/>
          <w:b w:val="0"/>
          <w:sz w:val="27"/>
          <w:szCs w:val="27"/>
        </w:rPr>
        <w:t>Benito Mussolini</w:t>
      </w:r>
      <w:r w:rsidRPr="00630DB2">
        <w:rPr>
          <w:sz w:val="27"/>
          <w:szCs w:val="27"/>
        </w:rPr>
        <w:t> e </w:t>
      </w:r>
      <w:r w:rsidRPr="00630DB2">
        <w:rPr>
          <w:rStyle w:val="Enfasigrassetto"/>
          <w:b w:val="0"/>
          <w:sz w:val="27"/>
          <w:szCs w:val="27"/>
        </w:rPr>
        <w:t xml:space="preserve">Filippo </w:t>
      </w:r>
      <w:proofErr w:type="spellStart"/>
      <w:r w:rsidRPr="00630DB2">
        <w:rPr>
          <w:rStyle w:val="Enfasigrassetto"/>
          <w:b w:val="0"/>
          <w:sz w:val="27"/>
          <w:szCs w:val="27"/>
        </w:rPr>
        <w:t>Corridoni</w:t>
      </w:r>
      <w:proofErr w:type="spellEnd"/>
      <w:r w:rsidRPr="00630DB2">
        <w:rPr>
          <w:sz w:val="27"/>
          <w:szCs w:val="27"/>
        </w:rPr>
        <w:t>, convertito all'interventismo dopo il fallimento degli scioperi del 1914 noti come la "settimana rossa".</w:t>
      </w:r>
    </w:p>
    <w:p w:rsidR="006D0FB1" w:rsidRPr="00630DB2" w:rsidRDefault="00DC57F3" w:rsidP="006D0FB1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proofErr w:type="spellStart"/>
      <w:r w:rsidRPr="00630DB2">
        <w:rPr>
          <w:sz w:val="27"/>
          <w:szCs w:val="27"/>
        </w:rPr>
        <w:t>Corridoni</w:t>
      </w:r>
      <w:proofErr w:type="spellEnd"/>
      <w:r w:rsidRPr="00630DB2">
        <w:rPr>
          <w:sz w:val="27"/>
          <w:szCs w:val="27"/>
        </w:rPr>
        <w:t xml:space="preserve"> e Mussolini fondarono ognuno un proprio movimento interventista, con la denominazione comune di "</w:t>
      </w:r>
      <w:r w:rsidRPr="00630DB2">
        <w:rPr>
          <w:rStyle w:val="Enfasicorsivo"/>
          <w:sz w:val="27"/>
          <w:szCs w:val="27"/>
        </w:rPr>
        <w:t>fasci</w:t>
      </w:r>
      <w:r w:rsidRPr="00630DB2">
        <w:rPr>
          <w:sz w:val="27"/>
          <w:szCs w:val="27"/>
        </w:rPr>
        <w:t>". Tennero comizi insieme, scrissero articoli di fuoco sulla necessità di purgare l'Italia dalla mollezza dello Stato Liberale, erano pronti a colpire la debolezza dell'educazione cattolica del Paese con un feroce anticlericalismo.</w:t>
      </w:r>
    </w:p>
    <w:p w:rsidR="006D0FB1" w:rsidRPr="00630DB2" w:rsidRDefault="00DC57F3" w:rsidP="006D0FB1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  <w:r w:rsidRPr="00630DB2">
        <w:rPr>
          <w:sz w:val="27"/>
          <w:szCs w:val="27"/>
        </w:rPr>
        <w:t> </w:t>
      </w:r>
      <w:r w:rsidR="006D0FB1" w:rsidRPr="00630DB2">
        <w:rPr>
          <w:sz w:val="27"/>
          <w:szCs w:val="27"/>
        </w:rPr>
        <w:t>I 10 mesi di neutralità videro un ribaltamento della posizione anche da parte di </w:t>
      </w:r>
      <w:r w:rsidR="006D0FB1" w:rsidRPr="00630DB2">
        <w:rPr>
          <w:bCs/>
          <w:sz w:val="27"/>
          <w:szCs w:val="27"/>
        </w:rPr>
        <w:t>Vittorio Emanuele III</w:t>
      </w:r>
      <w:r w:rsidR="006D0FB1" w:rsidRPr="00630DB2">
        <w:rPr>
          <w:sz w:val="27"/>
          <w:szCs w:val="27"/>
        </w:rPr>
        <w:t xml:space="preserve">. Molto meno filotedesco di suo padre Umberto I, passò da un neutralismo blando all'appoggio della Duplice Intesa. La decisione dell'intervento fu tardiva e arrivò dopo che Francia e Inghilterra assicurarono all'Italia vantaggi territoriali riguardo alle terre "irredente" in caso di vittoria contro gli imperi centrali. Tra conflitti di piazza e di carta, si avvicinano le "radiose giornate di maggio". Gli ultimi barlumi della diplomazia di Giolitti si spegnevano e le piazze si riempivano di manifestanti a favore dell'ingresso in guerra contro l'Austria. Il 20 maggio Antonio Salandra consegna la dichiarazione di guerra dell'Italia. Con effetto il 24 maggio 1915. 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300" w:afterAutospacing="0"/>
        <w:ind w:left="567" w:right="1134"/>
        <w:jc w:val="both"/>
        <w:rPr>
          <w:sz w:val="27"/>
          <w:szCs w:val="27"/>
        </w:rPr>
      </w:pP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  <w:rPr>
          <w:b/>
          <w:sz w:val="27"/>
          <w:szCs w:val="27"/>
        </w:rPr>
      </w:pP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  <w:rPr>
          <w:b/>
          <w:sz w:val="27"/>
          <w:szCs w:val="27"/>
        </w:rPr>
      </w:pP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  <w:rPr>
          <w:b/>
        </w:rPr>
      </w:pPr>
      <w:r w:rsidRPr="00630DB2">
        <w:rPr>
          <w:b/>
        </w:rPr>
        <w:t>1 : I cattolici erano a favore del non intervento :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a) perché appoggiavano la cattolica Austria;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b) perché il Papa difendeva i contadini;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c) per motivazioni differenti difficilmente riconducibili a una teoria unitaria;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</w:pPr>
      <w:r w:rsidRPr="00630DB2">
        <w:t>d) perché seguivano le teorie pacifiste di Padre Agostino Gemelli;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  <w:rPr>
          <w:b/>
        </w:rPr>
      </w:pP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  <w:rPr>
          <w:b/>
        </w:rPr>
      </w:pPr>
      <w:r w:rsidRPr="00630DB2">
        <w:rPr>
          <w:b/>
        </w:rPr>
        <w:t>2 : I nazionalisti premevano per l’entrata in guerra :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a) per proseguire nell’impresa in Libia;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b) nella speranza che la guerra avrebbe smantellato lo Stato liberale;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c) per opporsi alle forze antisocialiste, antidemocratiche e filo-imperialiste;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d) per riconquistare le terre irredente;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</w:pP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  <w:rPr>
          <w:b/>
        </w:rPr>
      </w:pPr>
      <w:r w:rsidRPr="00630DB2">
        <w:rPr>
          <w:b/>
        </w:rPr>
        <w:t>3 : D’Annunzio :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a) è un esponente del futurismo di Marinetti;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b) sfrutta i nuovi mezzi di comunicazione per incitare il pubblico all’interventismo;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c) con la sua propaganda aggressiva si aliena le simpatie della borghesia industriale;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d) si dedica esclusivamente alla vita culturale e artistica;</w:t>
      </w:r>
    </w:p>
    <w:p w:rsidR="00312874" w:rsidRPr="00630DB2" w:rsidRDefault="00312874" w:rsidP="00DC57F3">
      <w:pPr>
        <w:pStyle w:val="p1"/>
        <w:shd w:val="clear" w:color="auto" w:fill="FFFFFF"/>
        <w:spacing w:before="0" w:beforeAutospacing="0" w:after="300" w:afterAutospacing="0"/>
        <w:jc w:val="both"/>
      </w:pPr>
    </w:p>
    <w:p w:rsidR="00DC57F3" w:rsidRPr="00630DB2" w:rsidRDefault="00312874" w:rsidP="00312874">
      <w:pPr>
        <w:pStyle w:val="p1"/>
        <w:shd w:val="clear" w:color="auto" w:fill="FFFFFF"/>
        <w:spacing w:before="0" w:beforeAutospacing="0" w:after="120" w:afterAutospacing="0"/>
        <w:jc w:val="both"/>
        <w:rPr>
          <w:b/>
        </w:rPr>
      </w:pPr>
      <w:r w:rsidRPr="00630DB2">
        <w:rPr>
          <w:b/>
        </w:rPr>
        <w:t xml:space="preserve">4 : </w:t>
      </w:r>
      <w:r w:rsidR="00DC57F3" w:rsidRPr="00630DB2">
        <w:rPr>
          <w:b/>
        </w:rPr>
        <w:t xml:space="preserve">l’Italia entra in guerra </w:t>
      </w:r>
      <w:r w:rsidRPr="00630DB2">
        <w:rPr>
          <w:b/>
        </w:rPr>
        <w:t xml:space="preserve">: 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 xml:space="preserve">a) </w:t>
      </w:r>
      <w:r w:rsidR="00FB2DD9" w:rsidRPr="00630DB2">
        <w:t xml:space="preserve">al fianco della Duplice Intesa </w:t>
      </w:r>
      <w:r w:rsidRPr="00630DB2">
        <w:t xml:space="preserve">dopo 10 mesi </w:t>
      </w:r>
      <w:r w:rsidR="00AB5F01" w:rsidRPr="00630DB2">
        <w:t>di neutralità</w:t>
      </w:r>
      <w:r w:rsidR="00312874" w:rsidRPr="00630DB2">
        <w:t>;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b) dopo aver ricevuto garanzia dalla Francia e dall’Inghilterra</w:t>
      </w:r>
      <w:r w:rsidR="00312874" w:rsidRPr="00630DB2">
        <w:t>;</w:t>
      </w:r>
    </w:p>
    <w:p w:rsidR="00DC57F3" w:rsidRPr="00630DB2" w:rsidRDefault="00DC57F3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 xml:space="preserve">c) </w:t>
      </w:r>
      <w:r w:rsidR="00AB5F01" w:rsidRPr="00630DB2">
        <w:t>contro gli Imperi centrali</w:t>
      </w:r>
      <w:r w:rsidR="00312874" w:rsidRPr="00630DB2">
        <w:t>;</w:t>
      </w:r>
      <w:bookmarkStart w:id="0" w:name="_GoBack"/>
      <w:bookmarkEnd w:id="0"/>
    </w:p>
    <w:p w:rsidR="00AB5F01" w:rsidRPr="00630DB2" w:rsidRDefault="00AB5F01" w:rsidP="00312874">
      <w:pPr>
        <w:pStyle w:val="p1"/>
        <w:shd w:val="clear" w:color="auto" w:fill="FFFFFF"/>
        <w:spacing w:before="0" w:beforeAutospacing="0" w:after="120" w:afterAutospacing="0"/>
        <w:jc w:val="both"/>
      </w:pPr>
      <w:r w:rsidRPr="00630DB2">
        <w:t>d) tutte le precedenti</w:t>
      </w:r>
      <w:r w:rsidR="00312874" w:rsidRPr="00630DB2">
        <w:t>;</w:t>
      </w: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</w:pPr>
    </w:p>
    <w:p w:rsidR="00312874" w:rsidRPr="00630DB2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  <w:rPr>
          <w:b/>
        </w:rPr>
      </w:pPr>
      <w:r w:rsidRPr="00630DB2">
        <w:rPr>
          <w:b/>
        </w:rPr>
        <w:t xml:space="preserve">5 : </w:t>
      </w:r>
      <w:bookmarkStart w:id="1" w:name="_Hlk495422640"/>
      <w:r w:rsidRPr="00630DB2">
        <w:rPr>
          <w:b/>
        </w:rPr>
        <w:t>in base alle tue conoscenze e alle informazioni presenti nel brano riassumi brevemente gli schieramenti interni dei neutrali</w:t>
      </w:r>
      <w:r w:rsidR="00B8587D" w:rsidRPr="00630DB2">
        <w:rPr>
          <w:b/>
        </w:rPr>
        <w:t>sti e le rispettive motivazioni.</w:t>
      </w:r>
    </w:p>
    <w:p w:rsidR="00B8587D" w:rsidRPr="00630DB2" w:rsidRDefault="00B8587D" w:rsidP="00B8587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587D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8587D">
        <w:rPr>
          <w:rFonts w:ascii="Times New Roman" w:eastAsia="Calibri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  <w:r w:rsidRPr="00630DB2">
        <w:rPr>
          <w:rFonts w:ascii="Times New Roman" w:eastAsia="Calibri" w:hAnsi="Times New Roman" w:cs="Times New Roman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8587D" w:rsidRPr="00630DB2" w:rsidRDefault="00B8587D" w:rsidP="00B8587D">
      <w:pPr>
        <w:pStyle w:val="p1"/>
        <w:shd w:val="clear" w:color="auto" w:fill="FFFFFF"/>
        <w:spacing w:before="0" w:beforeAutospacing="0" w:after="300" w:afterAutospacing="0"/>
        <w:jc w:val="both"/>
        <w:rPr>
          <w:b/>
        </w:rPr>
      </w:pPr>
      <w:r w:rsidRPr="00630DB2">
        <w:rPr>
          <w:b/>
        </w:rPr>
        <w:t>6 : in base alle tue conoscenze e alle informazioni presenti nel brano, come si può motivare l’interventismo degli irredentisti?</w:t>
      </w:r>
    </w:p>
    <w:p w:rsidR="00B8587D" w:rsidRPr="00B8587D" w:rsidRDefault="00B8587D" w:rsidP="00B8587D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587D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30DB2">
        <w:rPr>
          <w:rFonts w:ascii="Times New Roman" w:eastAsia="Calibri" w:hAnsi="Times New Roman" w:cs="Times New Roman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8587D" w:rsidRPr="00312874" w:rsidRDefault="00B8587D" w:rsidP="00312874">
      <w:pPr>
        <w:pStyle w:val="p1"/>
        <w:shd w:val="clear" w:color="auto" w:fill="FFFFFF"/>
        <w:spacing w:before="0" w:beforeAutospacing="0" w:after="300" w:afterAutospacing="0"/>
        <w:jc w:val="both"/>
        <w:rPr>
          <w:b/>
          <w:sz w:val="27"/>
          <w:szCs w:val="27"/>
        </w:rPr>
      </w:pPr>
    </w:p>
    <w:bookmarkEnd w:id="1"/>
    <w:p w:rsidR="00312874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  <w:rPr>
          <w:sz w:val="27"/>
          <w:szCs w:val="27"/>
        </w:rPr>
      </w:pPr>
    </w:p>
    <w:p w:rsidR="00312874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  <w:rPr>
          <w:sz w:val="27"/>
          <w:szCs w:val="27"/>
        </w:rPr>
      </w:pPr>
    </w:p>
    <w:p w:rsidR="00312874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  <w:rPr>
          <w:sz w:val="27"/>
          <w:szCs w:val="27"/>
        </w:rPr>
      </w:pPr>
    </w:p>
    <w:p w:rsidR="00312874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  <w:rPr>
          <w:sz w:val="27"/>
          <w:szCs w:val="27"/>
        </w:rPr>
      </w:pPr>
    </w:p>
    <w:p w:rsidR="00312874" w:rsidRPr="00312874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  <w:rPr>
          <w:b/>
          <w:sz w:val="27"/>
          <w:szCs w:val="27"/>
        </w:rPr>
      </w:pPr>
    </w:p>
    <w:p w:rsidR="00312874" w:rsidRDefault="00312874" w:rsidP="00312874">
      <w:pPr>
        <w:pStyle w:val="p1"/>
        <w:shd w:val="clear" w:color="auto" w:fill="FFFFFF"/>
        <w:spacing w:before="0" w:beforeAutospacing="0" w:after="300" w:afterAutospacing="0"/>
        <w:jc w:val="both"/>
        <w:rPr>
          <w:b/>
          <w:sz w:val="27"/>
          <w:szCs w:val="27"/>
        </w:rPr>
      </w:pPr>
    </w:p>
    <w:p w:rsidR="00B8587D" w:rsidRPr="00B8587D" w:rsidRDefault="00B8587D" w:rsidP="00B8587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57F3" w:rsidRDefault="00DC57F3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B47FAF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p w:rsidR="007921F7" w:rsidRPr="007921F7" w:rsidRDefault="007921F7" w:rsidP="007921F7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495424725"/>
      <w:r w:rsidRPr="007921F7">
        <w:rPr>
          <w:rFonts w:ascii="Times New Roman" w:hAnsi="Times New Roman" w:cs="Times New Roman"/>
          <w:b/>
          <w:sz w:val="24"/>
          <w:szCs w:val="24"/>
        </w:rPr>
        <w:t xml:space="preserve">Conoscenze 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1F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921F7">
        <w:rPr>
          <w:rFonts w:ascii="Times New Roman" w:hAnsi="Times New Roman" w:cs="Times New Roman"/>
          <w:sz w:val="24"/>
          <w:szCs w:val="24"/>
        </w:rPr>
        <w:t>principali persistenze e processi di trasformazione tra la fine del secolo XIX e il secolo XXI, in Italia, in Europa e nel mondo.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sz w:val="24"/>
          <w:szCs w:val="24"/>
        </w:rPr>
      </w:pPr>
      <w:r w:rsidRPr="007921F7">
        <w:rPr>
          <w:rFonts w:ascii="Times New Roman" w:hAnsi="Times New Roman" w:cs="Times New Roman"/>
          <w:sz w:val="24"/>
          <w:szCs w:val="24"/>
        </w:rPr>
        <w:t>- lessico delle scienze storico-sociali;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sz w:val="24"/>
          <w:szCs w:val="24"/>
        </w:rPr>
      </w:pPr>
      <w:r w:rsidRPr="007921F7">
        <w:rPr>
          <w:rFonts w:ascii="Times New Roman" w:hAnsi="Times New Roman" w:cs="Times New Roman"/>
          <w:sz w:val="24"/>
          <w:szCs w:val="24"/>
        </w:rPr>
        <w:t>- aspetti della storia locale quali configurazioni della storia generale;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1F7">
        <w:rPr>
          <w:rFonts w:ascii="Times New Roman" w:hAnsi="Times New Roman" w:cs="Times New Roman"/>
          <w:b/>
          <w:sz w:val="24"/>
          <w:szCs w:val="24"/>
        </w:rPr>
        <w:t>Abilità</w:t>
      </w:r>
    </w:p>
    <w:p w:rsidR="007921F7" w:rsidRPr="007921F7" w:rsidRDefault="007921F7" w:rsidP="007921F7">
      <w:pPr>
        <w:rPr>
          <w:rFonts w:ascii="Times New Roman" w:hAnsi="Times New Roman" w:cs="Times New Roman"/>
          <w:sz w:val="24"/>
          <w:szCs w:val="24"/>
        </w:rPr>
      </w:pPr>
      <w:r w:rsidRPr="007921F7">
        <w:rPr>
          <w:rFonts w:ascii="Times New Roman" w:hAnsi="Times New Roman" w:cs="Times New Roman"/>
          <w:sz w:val="24"/>
          <w:szCs w:val="24"/>
        </w:rPr>
        <w:t>- riconoscere nella storia del Novecento e nel mondo attuale le radici storiche del passato, cogliendo gli elementi di persistenza e discontinuità;</w:t>
      </w:r>
    </w:p>
    <w:p w:rsidR="007921F7" w:rsidRPr="007921F7" w:rsidRDefault="007921F7" w:rsidP="007921F7">
      <w:pPr>
        <w:rPr>
          <w:rFonts w:ascii="Times New Roman" w:hAnsi="Times New Roman" w:cs="Times New Roman"/>
          <w:sz w:val="24"/>
          <w:szCs w:val="24"/>
        </w:rPr>
      </w:pPr>
      <w:r w:rsidRPr="007921F7">
        <w:rPr>
          <w:rFonts w:ascii="Times New Roman" w:hAnsi="Times New Roman" w:cs="Times New Roman"/>
          <w:sz w:val="24"/>
          <w:szCs w:val="24"/>
        </w:rPr>
        <w:t>- analizzare problematiche significative del periodo considerato;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sz w:val="24"/>
          <w:szCs w:val="24"/>
        </w:rPr>
      </w:pPr>
      <w:r w:rsidRPr="007921F7">
        <w:rPr>
          <w:rFonts w:ascii="Times New Roman" w:hAnsi="Times New Roman" w:cs="Times New Roman"/>
          <w:sz w:val="24"/>
          <w:szCs w:val="24"/>
        </w:rPr>
        <w:t>- utilizzare il lessico di base delle scienze storico-sociali.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1F7">
        <w:rPr>
          <w:rFonts w:ascii="Times New Roman" w:hAnsi="Times New Roman" w:cs="Times New Roman"/>
          <w:b/>
          <w:sz w:val="24"/>
          <w:szCs w:val="24"/>
        </w:rPr>
        <w:t xml:space="preserve">Competenze 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sz w:val="24"/>
          <w:szCs w:val="24"/>
        </w:rPr>
      </w:pPr>
      <w:r w:rsidRPr="007921F7">
        <w:rPr>
          <w:rFonts w:ascii="Times New Roman" w:hAnsi="Times New Roman" w:cs="Times New Roman"/>
          <w:sz w:val="24"/>
          <w:szCs w:val="24"/>
        </w:rPr>
        <w:t>- Comprendere il cambiamento e la diversità dei tempi storici in una dimensione diacronica attraverso il confronto fra epoche e in una dimensione sincronica attraverso il confronto fra aree geografiche e culturali :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sz w:val="24"/>
          <w:szCs w:val="24"/>
        </w:rPr>
      </w:pPr>
      <w:r w:rsidRPr="007921F7">
        <w:rPr>
          <w:rFonts w:ascii="Times New Roman" w:hAnsi="Times New Roman" w:cs="Times New Roman"/>
          <w:sz w:val="24"/>
          <w:szCs w:val="24"/>
        </w:rPr>
        <w:t>a : collocare i più rilevanti eventi storici affrontati secondo le coordinate spazio-tempo;</w:t>
      </w:r>
    </w:p>
    <w:p w:rsidR="007921F7" w:rsidRPr="007921F7" w:rsidRDefault="007921F7" w:rsidP="007921F7">
      <w:pPr>
        <w:jc w:val="both"/>
        <w:rPr>
          <w:rFonts w:ascii="Times New Roman" w:hAnsi="Times New Roman" w:cs="Times New Roman"/>
          <w:sz w:val="24"/>
          <w:szCs w:val="24"/>
        </w:rPr>
      </w:pPr>
      <w:r w:rsidRPr="007921F7">
        <w:rPr>
          <w:rFonts w:ascii="Times New Roman" w:hAnsi="Times New Roman" w:cs="Times New Roman"/>
          <w:sz w:val="24"/>
          <w:szCs w:val="24"/>
        </w:rPr>
        <w:t>b : identificare gli elementi maggiormente significativi per confrontare aree e periodi diversi.</w:t>
      </w:r>
    </w:p>
    <w:bookmarkEnd w:id="2"/>
    <w:p w:rsidR="00B47FAF" w:rsidRPr="00DC57F3" w:rsidRDefault="00B47FAF" w:rsidP="00DC57F3">
      <w:pPr>
        <w:rPr>
          <w:rFonts w:ascii="Times New Roman" w:hAnsi="Times New Roman" w:cs="Times New Roman"/>
          <w:sz w:val="24"/>
          <w:szCs w:val="24"/>
        </w:rPr>
      </w:pPr>
    </w:p>
    <w:sectPr w:rsidR="00B47FAF" w:rsidRPr="00DC57F3" w:rsidSect="00670E03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9CA" w:rsidRDefault="00A639CA" w:rsidP="00312874">
      <w:pPr>
        <w:spacing w:after="0" w:line="240" w:lineRule="auto"/>
      </w:pPr>
      <w:r>
        <w:separator/>
      </w:r>
    </w:p>
  </w:endnote>
  <w:endnote w:type="continuationSeparator" w:id="0">
    <w:p w:rsidR="00A639CA" w:rsidRDefault="00A639CA" w:rsidP="00312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92329717"/>
      <w:docPartObj>
        <w:docPartGallery w:val="Page Numbers (Bottom of Page)"/>
        <w:docPartUnique/>
      </w:docPartObj>
    </w:sdtPr>
    <w:sdtContent>
      <w:p w:rsidR="00312874" w:rsidRDefault="00670E03">
        <w:pPr>
          <w:pStyle w:val="Pidipagina"/>
          <w:jc w:val="right"/>
        </w:pPr>
        <w:r>
          <w:fldChar w:fldCharType="begin"/>
        </w:r>
        <w:r w:rsidR="00312874">
          <w:instrText>PAGE   \* MERGEFORMAT</w:instrText>
        </w:r>
        <w:r>
          <w:fldChar w:fldCharType="separate"/>
        </w:r>
        <w:r w:rsidR="009473D8">
          <w:rPr>
            <w:noProof/>
          </w:rPr>
          <w:t>2</w:t>
        </w:r>
        <w:r>
          <w:fldChar w:fldCharType="end"/>
        </w:r>
      </w:p>
    </w:sdtContent>
  </w:sdt>
  <w:p w:rsidR="00312874" w:rsidRDefault="0031287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9CA" w:rsidRDefault="00A639CA" w:rsidP="00312874">
      <w:pPr>
        <w:spacing w:after="0" w:line="240" w:lineRule="auto"/>
      </w:pPr>
      <w:r>
        <w:separator/>
      </w:r>
    </w:p>
  </w:footnote>
  <w:footnote w:type="continuationSeparator" w:id="0">
    <w:p w:rsidR="00A639CA" w:rsidRDefault="00A639CA" w:rsidP="003128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7F3"/>
    <w:rsid w:val="00193225"/>
    <w:rsid w:val="00222A49"/>
    <w:rsid w:val="00311F0A"/>
    <w:rsid w:val="00312874"/>
    <w:rsid w:val="00630DB2"/>
    <w:rsid w:val="00670E03"/>
    <w:rsid w:val="006D0FB1"/>
    <w:rsid w:val="007921F7"/>
    <w:rsid w:val="009473D8"/>
    <w:rsid w:val="00A639CA"/>
    <w:rsid w:val="00AB5F01"/>
    <w:rsid w:val="00B47FAF"/>
    <w:rsid w:val="00B8587D"/>
    <w:rsid w:val="00B945FB"/>
    <w:rsid w:val="00C30248"/>
    <w:rsid w:val="00DC57F3"/>
    <w:rsid w:val="00FB2DD9"/>
    <w:rsid w:val="00FE0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0E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1">
    <w:name w:val="p1"/>
    <w:basedOn w:val="Normale"/>
    <w:rsid w:val="00DC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C57F3"/>
    <w:rPr>
      <w:b/>
      <w:bCs/>
    </w:rPr>
  </w:style>
  <w:style w:type="character" w:styleId="Enfasicorsivo">
    <w:name w:val="Emphasis"/>
    <w:basedOn w:val="Carpredefinitoparagrafo"/>
    <w:uiPriority w:val="20"/>
    <w:qFormat/>
    <w:rsid w:val="00DC57F3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3128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2874"/>
  </w:style>
  <w:style w:type="paragraph" w:styleId="Pidipagina">
    <w:name w:val="footer"/>
    <w:basedOn w:val="Normale"/>
    <w:link w:val="PidipaginaCarattere"/>
    <w:uiPriority w:val="99"/>
    <w:unhideWhenUsed/>
    <w:rsid w:val="003128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8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M.</dc:creator>
  <cp:keywords/>
  <dc:description/>
  <cp:lastModifiedBy>BIBLIOTECA SANNINO</cp:lastModifiedBy>
  <cp:revision>2</cp:revision>
  <dcterms:created xsi:type="dcterms:W3CDTF">2017-11-10T09:33:00Z</dcterms:created>
  <dcterms:modified xsi:type="dcterms:W3CDTF">2017-11-10T09:33:00Z</dcterms:modified>
</cp:coreProperties>
</file>